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32" w:rsidRDefault="00214732" w:rsidP="00523513">
      <w:pPr>
        <w:tabs>
          <w:tab w:val="center" w:pos="4680"/>
        </w:tabs>
        <w:suppressAutoHyphens/>
        <w:rPr>
          <w:rFonts w:ascii="Arial" w:hAnsi="Arial" w:cs="Arial"/>
          <w:sz w:val="24"/>
          <w:szCs w:val="24"/>
        </w:rPr>
      </w:pPr>
      <w:bookmarkStart w:id="0" w:name="_GoBack"/>
      <w:bookmarkEnd w:id="0"/>
      <w:r>
        <w:rPr>
          <w:rFonts w:ascii="Arial" w:hAnsi="Arial" w:cs="Arial"/>
          <w:b/>
          <w:bCs/>
          <w:sz w:val="29"/>
          <w:szCs w:val="29"/>
        </w:rPr>
        <w:tab/>
      </w:r>
      <w:r w:rsidR="003C6A1A">
        <w:rPr>
          <w:noProof/>
        </w:rPr>
        <mc:AlternateContent>
          <mc:Choice Requires="wps">
            <w:drawing>
              <wp:anchor distT="0" distB="0" distL="114300" distR="114300" simplePos="0" relativeHeight="251656704" behindDoc="0" locked="0" layoutInCell="1" allowOverlap="1">
                <wp:simplePos x="0" y="0"/>
                <wp:positionH relativeFrom="column">
                  <wp:posOffset>470535</wp:posOffset>
                </wp:positionH>
                <wp:positionV relativeFrom="paragraph">
                  <wp:posOffset>93345</wp:posOffset>
                </wp:positionV>
                <wp:extent cx="5486400" cy="533400"/>
                <wp:effectExtent l="13335" t="7620" r="571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3400"/>
                        </a:xfrm>
                        <a:prstGeom prst="rect">
                          <a:avLst/>
                        </a:prstGeom>
                        <a:solidFill>
                          <a:srgbClr val="FFFFFF"/>
                        </a:solidFill>
                        <a:ln w="9525">
                          <a:solidFill>
                            <a:srgbClr val="000000"/>
                          </a:solidFill>
                          <a:miter lim="800000"/>
                          <a:headEnd/>
                          <a:tailEnd/>
                        </a:ln>
                      </wps:spPr>
                      <wps:txbx>
                        <w:txbxContent>
                          <w:p w:rsidR="00214732" w:rsidRDefault="00214732">
                            <w:pPr>
                              <w:pStyle w:val="BodyText"/>
                            </w:pPr>
                            <w:r>
                              <w:t>The following are work surface performance requirements which the specifier may wish to insert into Part 1 of the casework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7.35pt;width:6in;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GxJwIAAFA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">
                <v:textbox>
                  <w:txbxContent>
                    <w:p w:rsidR="00214732" w:rsidRDefault="00214732">
                      <w:pPr>
                        <w:pStyle w:val="BodyText"/>
                      </w:pPr>
                      <w:r>
                        <w:t>The following are work surface performance requirements which the specifier may wish to insert into Part 1 of the casework specifications.</w:t>
                      </w:r>
                    </w:p>
                  </w:txbxContent>
                </v:textbox>
              </v:shape>
            </w:pict>
          </mc:Fallback>
        </mc:AlternateContent>
      </w:r>
    </w:p>
    <w:p w:rsidR="00214732" w:rsidRDefault="00214732">
      <w:pPr>
        <w:tabs>
          <w:tab w:val="left" w:pos="-720"/>
        </w:tabs>
        <w:suppressAutoHyphens/>
        <w:rPr>
          <w:rFonts w:ascii="Arial" w:hAnsi="Arial" w:cs="Arial"/>
          <w:sz w:val="24"/>
          <w:szCs w:val="24"/>
        </w:rPr>
      </w:pPr>
    </w:p>
    <w:p w:rsidR="00214732" w:rsidRDefault="00214732">
      <w:pPr>
        <w:pStyle w:val="EndnoteText"/>
        <w:tabs>
          <w:tab w:val="left" w:pos="-720"/>
        </w:tabs>
        <w:suppressAutoHyphens/>
      </w:pP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8"/>
          <w:szCs w:val="28"/>
        </w:rPr>
      </w:pPr>
      <w:r>
        <w:rPr>
          <w:rFonts w:ascii="Arial" w:hAnsi="Arial" w:cs="Arial"/>
          <w:b/>
          <w:bCs/>
          <w:sz w:val="28"/>
          <w:szCs w:val="28"/>
        </w:rPr>
        <w:t>1.</w:t>
      </w:r>
      <w:r>
        <w:rPr>
          <w:rFonts w:ascii="Arial" w:hAnsi="Arial" w:cs="Arial"/>
          <w:b/>
          <w:bCs/>
          <w:sz w:val="28"/>
          <w:szCs w:val="28"/>
        </w:rPr>
        <w:tab/>
        <w:t>WORK SURFACE PERFORMANCE REQUIREMENTS</w:t>
      </w:r>
    </w:p>
    <w:p w:rsidR="00214732" w:rsidRDefault="00214732">
      <w:pPr>
        <w:tabs>
          <w:tab w:val="left" w:pos="-720"/>
        </w:tabs>
        <w:suppressAutoHyphens/>
        <w:rPr>
          <w:rFonts w:ascii="Arial" w:hAnsi="Arial" w:cs="Arial"/>
          <w:sz w:val="24"/>
          <w:szCs w:val="24"/>
        </w:rPr>
      </w:pPr>
    </w:p>
    <w:p w:rsidR="00214732" w:rsidRDefault="00214732">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A.</w:t>
      </w:r>
      <w:r>
        <w:rPr>
          <w:rFonts w:ascii="Arial" w:hAnsi="Arial" w:cs="Arial"/>
          <w:sz w:val="24"/>
          <w:szCs w:val="24"/>
        </w:rPr>
        <w:tab/>
        <w:t>Test procedure:  Apply five drops of each reagent to surface and cover with 25mm watch glass, convex side down; test volatiles using one ounce bottle stuffed with saturated cotton.  After 24 hour exposure flush surface, clean, rinse and wipe dry.</w:t>
      </w:r>
    </w:p>
    <w:p w:rsidR="00214732" w:rsidRDefault="00214732">
      <w:pPr>
        <w:tabs>
          <w:tab w:val="left" w:pos="-720"/>
        </w:tabs>
        <w:suppressAutoHyphens/>
        <w:rPr>
          <w:rFonts w:ascii="Arial" w:hAnsi="Arial" w:cs="Arial"/>
          <w:sz w:val="24"/>
          <w:szCs w:val="24"/>
        </w:rPr>
      </w:pPr>
    </w:p>
    <w:p w:rsidR="00214732" w:rsidRDefault="00214732">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B.</w:t>
      </w:r>
      <w:r>
        <w:rPr>
          <w:rFonts w:ascii="Arial" w:hAnsi="Arial" w:cs="Arial"/>
          <w:sz w:val="24"/>
          <w:szCs w:val="24"/>
        </w:rPr>
        <w:tab/>
        <w:t>Evaluation ratings:  Change in surface finish and function shall be described by the following ratings:</w:t>
      </w:r>
    </w:p>
    <w:p w:rsidR="00214732" w:rsidRDefault="0021473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No Effect:  No detectable change in surface material.</w:t>
      </w:r>
    </w:p>
    <w:p w:rsidR="00214732" w:rsidRDefault="0021473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Excellent:  Slight detectable change in color or gloss, but no change to the function or life of the work surface material.</w:t>
      </w:r>
    </w:p>
    <w:p w:rsidR="00214732" w:rsidRDefault="0021473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Good:  Clearly discernible change in color or gloss, but no significant impairment of work surface function or life.</w:t>
      </w:r>
    </w:p>
    <w:p w:rsidR="00214732" w:rsidRDefault="0021473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Fair:  Objectionable change in appearance due to surface discoloration or etch, possibly resulting in deterioration of function over an extended period.</w:t>
      </w:r>
    </w:p>
    <w:p w:rsidR="00214732" w:rsidRDefault="0021473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5.</w:t>
      </w:r>
      <w:r>
        <w:rPr>
          <w:rFonts w:ascii="Arial" w:hAnsi="Arial" w:cs="Arial"/>
          <w:sz w:val="24"/>
          <w:szCs w:val="24"/>
        </w:rPr>
        <w:tab/>
        <w:t>Failure:  Pitting, cratering or erosion of work surface material; obvious and significant deterioration.</w:t>
      </w:r>
    </w:p>
    <w:p w:rsidR="00214732" w:rsidRDefault="00214732">
      <w:pPr>
        <w:tabs>
          <w:tab w:val="left" w:pos="-720"/>
        </w:tabs>
        <w:suppressAutoHyphens/>
        <w:rPr>
          <w:rFonts w:ascii="Arial" w:hAnsi="Arial" w:cs="Arial"/>
          <w:sz w:val="24"/>
          <w:szCs w:val="24"/>
        </w:rPr>
      </w:pPr>
    </w:p>
    <w:p w:rsidR="00214732" w:rsidRDefault="00214732">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C.</w:t>
      </w:r>
      <w:r>
        <w:rPr>
          <w:rFonts w:ascii="Arial" w:hAnsi="Arial" w:cs="Arial"/>
          <w:sz w:val="24"/>
          <w:szCs w:val="24"/>
        </w:rPr>
        <w:tab/>
        <w:t>Test Results - Chemsurf Work Surface:</w:t>
      </w: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REAGENT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RATING</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Hydrochloric Acid</w:t>
      </w:r>
      <w:r>
        <w:rPr>
          <w:rFonts w:ascii="Arial" w:hAnsi="Arial" w:cs="Arial"/>
          <w:sz w:val="24"/>
          <w:szCs w:val="24"/>
        </w:rPr>
        <w:tab/>
      </w:r>
      <w:r>
        <w:rPr>
          <w:rFonts w:ascii="Arial" w:hAnsi="Arial" w:cs="Arial"/>
          <w:sz w:val="24"/>
          <w:szCs w:val="24"/>
        </w:rPr>
        <w:tab/>
        <w:t>37%</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Sulfuric Acid</w:t>
      </w:r>
      <w:r>
        <w:rPr>
          <w:rFonts w:ascii="Arial" w:hAnsi="Arial" w:cs="Arial"/>
          <w:sz w:val="24"/>
          <w:szCs w:val="24"/>
        </w:rPr>
        <w:tab/>
      </w:r>
      <w:r>
        <w:rPr>
          <w:rFonts w:ascii="Arial" w:hAnsi="Arial" w:cs="Arial"/>
          <w:sz w:val="24"/>
          <w:szCs w:val="24"/>
        </w:rPr>
        <w:tab/>
      </w:r>
      <w:r>
        <w:rPr>
          <w:rFonts w:ascii="Arial" w:hAnsi="Arial" w:cs="Arial"/>
          <w:sz w:val="24"/>
          <w:szCs w:val="24"/>
        </w:rPr>
        <w:tab/>
        <w:t>33%</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Sulfuric Acid</w:t>
      </w:r>
      <w:r>
        <w:rPr>
          <w:rFonts w:ascii="Arial" w:hAnsi="Arial" w:cs="Arial"/>
          <w:sz w:val="24"/>
          <w:szCs w:val="24"/>
        </w:rPr>
        <w:tab/>
      </w:r>
      <w:r>
        <w:rPr>
          <w:rFonts w:ascii="Arial" w:hAnsi="Arial" w:cs="Arial"/>
          <w:sz w:val="24"/>
          <w:szCs w:val="24"/>
        </w:rPr>
        <w:tab/>
      </w:r>
      <w:r>
        <w:rPr>
          <w:rFonts w:ascii="Arial" w:hAnsi="Arial" w:cs="Arial"/>
          <w:sz w:val="24"/>
          <w:szCs w:val="24"/>
        </w:rPr>
        <w:tab/>
        <w:t>77%</w:t>
      </w:r>
      <w:r>
        <w:rPr>
          <w:rFonts w:ascii="Arial" w:hAnsi="Arial" w:cs="Arial"/>
          <w:sz w:val="24"/>
          <w:szCs w:val="24"/>
        </w:rPr>
        <w:tab/>
      </w:r>
      <w:r>
        <w:rPr>
          <w:rFonts w:ascii="Arial" w:hAnsi="Arial" w:cs="Arial"/>
          <w:sz w:val="24"/>
          <w:szCs w:val="24"/>
        </w:rPr>
        <w:tab/>
        <w:t>Excellent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Sulfuric Acid</w:t>
      </w:r>
      <w:r>
        <w:rPr>
          <w:rFonts w:ascii="Arial" w:hAnsi="Arial" w:cs="Arial"/>
          <w:sz w:val="24"/>
          <w:szCs w:val="24"/>
        </w:rPr>
        <w:tab/>
      </w:r>
      <w:r>
        <w:rPr>
          <w:rFonts w:ascii="Arial" w:hAnsi="Arial" w:cs="Arial"/>
          <w:sz w:val="24"/>
          <w:szCs w:val="24"/>
        </w:rPr>
        <w:tab/>
      </w:r>
      <w:r>
        <w:rPr>
          <w:rFonts w:ascii="Arial" w:hAnsi="Arial" w:cs="Arial"/>
          <w:sz w:val="24"/>
          <w:szCs w:val="24"/>
        </w:rPr>
        <w:tab/>
        <w:t>96%</w:t>
      </w:r>
      <w:r>
        <w:rPr>
          <w:rFonts w:ascii="Arial" w:hAnsi="Arial" w:cs="Arial"/>
          <w:sz w:val="24"/>
          <w:szCs w:val="24"/>
        </w:rPr>
        <w:tab/>
      </w:r>
      <w:r>
        <w:rPr>
          <w:rFonts w:ascii="Arial" w:hAnsi="Arial" w:cs="Arial"/>
          <w:sz w:val="24"/>
          <w:szCs w:val="24"/>
        </w:rPr>
        <w:tab/>
        <w:t>Failure</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5.</w:t>
      </w:r>
      <w:r>
        <w:rPr>
          <w:rFonts w:ascii="Arial" w:hAnsi="Arial" w:cs="Arial"/>
          <w:sz w:val="24"/>
          <w:szCs w:val="24"/>
        </w:rPr>
        <w:tab/>
        <w:t>Formic Acid</w:t>
      </w:r>
      <w:r>
        <w:rPr>
          <w:rFonts w:ascii="Arial" w:hAnsi="Arial" w:cs="Arial"/>
          <w:sz w:val="24"/>
          <w:szCs w:val="24"/>
        </w:rPr>
        <w:tab/>
      </w:r>
      <w:r>
        <w:rPr>
          <w:rFonts w:ascii="Arial" w:hAnsi="Arial" w:cs="Arial"/>
          <w:sz w:val="24"/>
          <w:szCs w:val="24"/>
        </w:rPr>
        <w:tab/>
      </w:r>
      <w:r>
        <w:rPr>
          <w:rFonts w:ascii="Arial" w:hAnsi="Arial" w:cs="Arial"/>
          <w:sz w:val="24"/>
          <w:szCs w:val="24"/>
        </w:rPr>
        <w:tab/>
        <w:t>90%</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6.</w:t>
      </w:r>
      <w:r>
        <w:rPr>
          <w:rFonts w:ascii="Arial" w:hAnsi="Arial" w:cs="Arial"/>
          <w:sz w:val="24"/>
          <w:szCs w:val="24"/>
        </w:rPr>
        <w:tab/>
        <w:t>Nitric Acid</w:t>
      </w:r>
      <w:r>
        <w:rPr>
          <w:rFonts w:ascii="Arial" w:hAnsi="Arial" w:cs="Arial"/>
          <w:sz w:val="24"/>
          <w:szCs w:val="24"/>
        </w:rPr>
        <w:tab/>
      </w:r>
      <w:r>
        <w:rPr>
          <w:rFonts w:ascii="Arial" w:hAnsi="Arial" w:cs="Arial"/>
          <w:sz w:val="24"/>
          <w:szCs w:val="24"/>
        </w:rPr>
        <w:tab/>
      </w:r>
      <w:r>
        <w:rPr>
          <w:rFonts w:ascii="Arial" w:hAnsi="Arial" w:cs="Arial"/>
          <w:sz w:val="24"/>
          <w:szCs w:val="24"/>
        </w:rPr>
        <w:tab/>
        <w:t>20%</w:t>
      </w:r>
      <w:r>
        <w:rPr>
          <w:rFonts w:ascii="Arial" w:hAnsi="Arial" w:cs="Arial"/>
          <w:sz w:val="24"/>
          <w:szCs w:val="24"/>
        </w:rPr>
        <w:tab/>
      </w:r>
      <w:r>
        <w:rPr>
          <w:rFonts w:ascii="Arial" w:hAnsi="Arial" w:cs="Arial"/>
          <w:sz w:val="24"/>
          <w:szCs w:val="24"/>
        </w:rPr>
        <w:tab/>
        <w:t>Good</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7.</w:t>
      </w:r>
      <w:r>
        <w:rPr>
          <w:rFonts w:ascii="Arial" w:hAnsi="Arial" w:cs="Arial"/>
          <w:sz w:val="24"/>
          <w:szCs w:val="24"/>
        </w:rPr>
        <w:tab/>
        <w:t>Nitric Acid</w:t>
      </w:r>
      <w:r>
        <w:rPr>
          <w:rFonts w:ascii="Arial" w:hAnsi="Arial" w:cs="Arial"/>
          <w:sz w:val="24"/>
          <w:szCs w:val="24"/>
        </w:rPr>
        <w:tab/>
      </w:r>
      <w:r>
        <w:rPr>
          <w:rFonts w:ascii="Arial" w:hAnsi="Arial" w:cs="Arial"/>
          <w:sz w:val="24"/>
          <w:szCs w:val="24"/>
        </w:rPr>
        <w:tab/>
      </w:r>
      <w:r>
        <w:rPr>
          <w:rFonts w:ascii="Arial" w:hAnsi="Arial" w:cs="Arial"/>
          <w:sz w:val="24"/>
          <w:szCs w:val="24"/>
        </w:rPr>
        <w:tab/>
        <w:t>30%</w:t>
      </w:r>
      <w:r>
        <w:rPr>
          <w:rFonts w:ascii="Arial" w:hAnsi="Arial" w:cs="Arial"/>
          <w:sz w:val="24"/>
          <w:szCs w:val="24"/>
        </w:rPr>
        <w:tab/>
      </w:r>
      <w:r>
        <w:rPr>
          <w:rFonts w:ascii="Arial" w:hAnsi="Arial" w:cs="Arial"/>
          <w:sz w:val="24"/>
          <w:szCs w:val="24"/>
        </w:rPr>
        <w:tab/>
        <w:t>Fair</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8.</w:t>
      </w:r>
      <w:r>
        <w:rPr>
          <w:rFonts w:ascii="Arial" w:hAnsi="Arial" w:cs="Arial"/>
          <w:sz w:val="24"/>
          <w:szCs w:val="24"/>
        </w:rPr>
        <w:tab/>
        <w:t>Nitric Acid</w:t>
      </w:r>
      <w:r>
        <w:rPr>
          <w:rFonts w:ascii="Arial" w:hAnsi="Arial" w:cs="Arial"/>
          <w:sz w:val="24"/>
          <w:szCs w:val="24"/>
        </w:rPr>
        <w:tab/>
      </w:r>
      <w:r>
        <w:rPr>
          <w:rFonts w:ascii="Arial" w:hAnsi="Arial" w:cs="Arial"/>
          <w:sz w:val="24"/>
          <w:szCs w:val="24"/>
        </w:rPr>
        <w:tab/>
      </w:r>
      <w:r>
        <w:rPr>
          <w:rFonts w:ascii="Arial" w:hAnsi="Arial" w:cs="Arial"/>
          <w:sz w:val="24"/>
          <w:szCs w:val="24"/>
        </w:rPr>
        <w:tab/>
        <w:t>70%</w:t>
      </w:r>
      <w:r>
        <w:rPr>
          <w:rFonts w:ascii="Arial" w:hAnsi="Arial" w:cs="Arial"/>
          <w:sz w:val="24"/>
          <w:szCs w:val="24"/>
        </w:rPr>
        <w:tab/>
      </w:r>
      <w:r>
        <w:rPr>
          <w:rFonts w:ascii="Arial" w:hAnsi="Arial" w:cs="Arial"/>
          <w:sz w:val="24"/>
          <w:szCs w:val="24"/>
        </w:rPr>
        <w:tab/>
        <w:t>Failure</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9.</w:t>
      </w:r>
      <w:r>
        <w:rPr>
          <w:rFonts w:ascii="Arial" w:hAnsi="Arial" w:cs="Arial"/>
          <w:sz w:val="24"/>
          <w:szCs w:val="24"/>
        </w:rPr>
        <w:tab/>
        <w:t>Hydrofluoric Acid</w:t>
      </w:r>
      <w:r>
        <w:rPr>
          <w:rFonts w:ascii="Arial" w:hAnsi="Arial" w:cs="Arial"/>
          <w:sz w:val="24"/>
          <w:szCs w:val="24"/>
        </w:rPr>
        <w:tab/>
      </w:r>
      <w:r>
        <w:rPr>
          <w:rFonts w:ascii="Arial" w:hAnsi="Arial" w:cs="Arial"/>
          <w:sz w:val="24"/>
          <w:szCs w:val="24"/>
        </w:rPr>
        <w:tab/>
        <w:t>48%</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10.</w:t>
      </w:r>
      <w:r>
        <w:rPr>
          <w:rFonts w:ascii="Arial" w:hAnsi="Arial" w:cs="Arial"/>
          <w:sz w:val="24"/>
          <w:szCs w:val="24"/>
        </w:rPr>
        <w:tab/>
        <w:t>Phosphoric Acid</w:t>
      </w:r>
      <w:r>
        <w:rPr>
          <w:rFonts w:ascii="Arial" w:hAnsi="Arial" w:cs="Arial"/>
          <w:sz w:val="24"/>
          <w:szCs w:val="24"/>
        </w:rPr>
        <w:tab/>
      </w:r>
      <w:r>
        <w:rPr>
          <w:rFonts w:ascii="Arial" w:hAnsi="Arial" w:cs="Arial"/>
          <w:sz w:val="24"/>
          <w:szCs w:val="24"/>
        </w:rPr>
        <w:tab/>
        <w:t>85%</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11.</w:t>
      </w:r>
      <w:r>
        <w:rPr>
          <w:rFonts w:ascii="Arial" w:hAnsi="Arial" w:cs="Arial"/>
          <w:sz w:val="24"/>
          <w:szCs w:val="24"/>
        </w:rPr>
        <w:tab/>
        <w:t>Chromic Acid</w:t>
      </w:r>
      <w:r>
        <w:rPr>
          <w:rFonts w:ascii="Arial" w:hAnsi="Arial" w:cs="Arial"/>
          <w:sz w:val="24"/>
          <w:szCs w:val="24"/>
        </w:rPr>
        <w:tab/>
      </w:r>
      <w:r>
        <w:rPr>
          <w:rFonts w:ascii="Arial" w:hAnsi="Arial" w:cs="Arial"/>
          <w:sz w:val="24"/>
          <w:szCs w:val="24"/>
        </w:rPr>
        <w:tab/>
      </w:r>
      <w:r>
        <w:rPr>
          <w:rFonts w:ascii="Arial" w:hAnsi="Arial" w:cs="Arial"/>
          <w:sz w:val="24"/>
          <w:szCs w:val="24"/>
        </w:rPr>
        <w:tab/>
        <w:t>60%</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12.</w:t>
      </w:r>
      <w:r>
        <w:rPr>
          <w:rFonts w:ascii="Arial" w:hAnsi="Arial" w:cs="Arial"/>
          <w:sz w:val="24"/>
          <w:szCs w:val="24"/>
        </w:rPr>
        <w:tab/>
        <w:t>Acetic Acid</w:t>
      </w:r>
      <w:r>
        <w:rPr>
          <w:rFonts w:ascii="Arial" w:hAnsi="Arial" w:cs="Arial"/>
          <w:sz w:val="24"/>
          <w:szCs w:val="24"/>
        </w:rPr>
        <w:tab/>
      </w:r>
      <w:r>
        <w:rPr>
          <w:rFonts w:ascii="Arial" w:hAnsi="Arial" w:cs="Arial"/>
          <w:sz w:val="24"/>
          <w:szCs w:val="24"/>
        </w:rPr>
        <w:tab/>
      </w:r>
      <w:r>
        <w:rPr>
          <w:rFonts w:ascii="Arial" w:hAnsi="Arial" w:cs="Arial"/>
          <w:sz w:val="24"/>
          <w:szCs w:val="24"/>
        </w:rPr>
        <w:tab/>
        <w:t>98%</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13.</w:t>
      </w:r>
      <w:r>
        <w:rPr>
          <w:rFonts w:ascii="Arial" w:hAnsi="Arial" w:cs="Arial"/>
          <w:sz w:val="24"/>
          <w:szCs w:val="24"/>
        </w:rPr>
        <w:tab/>
        <w:t>3 &amp; 8 Equal Parts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Fair</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14.</w:t>
      </w:r>
      <w:r>
        <w:rPr>
          <w:rFonts w:ascii="Arial" w:hAnsi="Arial" w:cs="Arial"/>
          <w:sz w:val="24"/>
          <w:szCs w:val="24"/>
        </w:rPr>
        <w:tab/>
        <w:t>Ammonium Hydroxide</w:t>
      </w:r>
      <w:r>
        <w:rPr>
          <w:rFonts w:ascii="Arial" w:hAnsi="Arial" w:cs="Arial"/>
          <w:sz w:val="24"/>
          <w:szCs w:val="24"/>
        </w:rPr>
        <w:tab/>
        <w:t>28%</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15.</w:t>
      </w:r>
      <w:r>
        <w:rPr>
          <w:rFonts w:ascii="Arial" w:hAnsi="Arial" w:cs="Arial"/>
          <w:sz w:val="24"/>
          <w:szCs w:val="24"/>
        </w:rPr>
        <w:tab/>
        <w:t>Sodium Hyrdroxide</w:t>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16.</w:t>
      </w:r>
      <w:r>
        <w:rPr>
          <w:rFonts w:ascii="Arial" w:hAnsi="Arial" w:cs="Arial"/>
          <w:sz w:val="24"/>
          <w:szCs w:val="24"/>
        </w:rPr>
        <w:tab/>
        <w:t>Sodium Hydroxide</w:t>
      </w:r>
      <w:r>
        <w:rPr>
          <w:rFonts w:ascii="Arial" w:hAnsi="Arial" w:cs="Arial"/>
          <w:sz w:val="24"/>
          <w:szCs w:val="24"/>
        </w:rPr>
        <w:tab/>
      </w:r>
      <w:r>
        <w:rPr>
          <w:rFonts w:ascii="Arial" w:hAnsi="Arial" w:cs="Arial"/>
          <w:sz w:val="24"/>
          <w:szCs w:val="24"/>
        </w:rPr>
        <w:tab/>
        <w:t>20%</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lastRenderedPageBreak/>
        <w:tab/>
      </w:r>
      <w:r>
        <w:rPr>
          <w:rFonts w:ascii="Arial" w:hAnsi="Arial" w:cs="Arial"/>
          <w:sz w:val="24"/>
          <w:szCs w:val="24"/>
        </w:rPr>
        <w:tab/>
        <w:t>17.</w:t>
      </w:r>
      <w:r>
        <w:rPr>
          <w:rFonts w:ascii="Arial" w:hAnsi="Arial" w:cs="Arial"/>
          <w:sz w:val="24"/>
          <w:szCs w:val="24"/>
        </w:rPr>
        <w:tab/>
        <w:t>Sodium Hydroxide</w:t>
      </w:r>
      <w:r>
        <w:rPr>
          <w:rFonts w:ascii="Arial" w:hAnsi="Arial" w:cs="Arial"/>
          <w:sz w:val="24"/>
          <w:szCs w:val="24"/>
        </w:rPr>
        <w:tab/>
      </w:r>
      <w:r>
        <w:rPr>
          <w:rFonts w:ascii="Arial" w:hAnsi="Arial" w:cs="Arial"/>
          <w:sz w:val="24"/>
          <w:szCs w:val="24"/>
        </w:rPr>
        <w:tab/>
        <w:t>40%</w:t>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18.</w:t>
      </w:r>
      <w:r>
        <w:rPr>
          <w:rFonts w:ascii="Arial" w:hAnsi="Arial" w:cs="Arial"/>
          <w:sz w:val="24"/>
          <w:szCs w:val="24"/>
        </w:rPr>
        <w:tab/>
        <w:t>Sodium Hydroxide Flake</w:t>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19.</w:t>
      </w:r>
      <w:r>
        <w:rPr>
          <w:rFonts w:ascii="Arial" w:hAnsi="Arial" w:cs="Arial"/>
          <w:sz w:val="24"/>
          <w:szCs w:val="24"/>
        </w:rPr>
        <w:tab/>
        <w:t>Sodium Sulfide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20.</w:t>
      </w:r>
      <w:r>
        <w:rPr>
          <w:rFonts w:ascii="Arial" w:hAnsi="Arial" w:cs="Arial"/>
          <w:sz w:val="24"/>
          <w:szCs w:val="24"/>
        </w:rPr>
        <w:tab/>
        <w:t>Zinc Chloride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21.</w:t>
      </w:r>
      <w:r>
        <w:rPr>
          <w:rFonts w:ascii="Arial" w:hAnsi="Arial" w:cs="Arial"/>
          <w:sz w:val="24"/>
          <w:szCs w:val="24"/>
        </w:rPr>
        <w:tab/>
        <w:t>Tincture of Iodine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22.</w:t>
      </w:r>
      <w:r>
        <w:rPr>
          <w:rFonts w:ascii="Arial" w:hAnsi="Arial" w:cs="Arial"/>
          <w:sz w:val="24"/>
          <w:szCs w:val="24"/>
        </w:rPr>
        <w:tab/>
        <w:t>Silver Nitrate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23.</w:t>
      </w:r>
      <w:r>
        <w:rPr>
          <w:rFonts w:ascii="Arial" w:hAnsi="Arial" w:cs="Arial"/>
          <w:sz w:val="24"/>
          <w:szCs w:val="24"/>
        </w:rPr>
        <w:tab/>
        <w:t>Methyl Alcohol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24.</w:t>
      </w:r>
      <w:r>
        <w:rPr>
          <w:rFonts w:ascii="Arial" w:hAnsi="Arial" w:cs="Arial"/>
          <w:sz w:val="24"/>
          <w:szCs w:val="24"/>
        </w:rPr>
        <w:tab/>
        <w:t>Ethyl Alcohol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25.</w:t>
      </w:r>
      <w:r>
        <w:rPr>
          <w:rFonts w:ascii="Arial" w:hAnsi="Arial" w:cs="Arial"/>
          <w:sz w:val="24"/>
          <w:szCs w:val="24"/>
        </w:rPr>
        <w:tab/>
        <w:t>Butyl Alcohol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26.</w:t>
      </w:r>
      <w:r>
        <w:rPr>
          <w:rFonts w:ascii="Arial" w:hAnsi="Arial" w:cs="Arial"/>
          <w:sz w:val="24"/>
          <w:szCs w:val="24"/>
        </w:rPr>
        <w:tab/>
        <w:t>Benzene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27.</w:t>
      </w:r>
      <w:r>
        <w:rPr>
          <w:rFonts w:ascii="Arial" w:hAnsi="Arial" w:cs="Arial"/>
          <w:sz w:val="24"/>
          <w:szCs w:val="24"/>
        </w:rPr>
        <w:tab/>
        <w:t>Xylene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28.</w:t>
      </w:r>
      <w:r>
        <w:rPr>
          <w:rFonts w:ascii="Arial" w:hAnsi="Arial" w:cs="Arial"/>
          <w:sz w:val="24"/>
          <w:szCs w:val="24"/>
        </w:rPr>
        <w:tab/>
        <w:t>Toluene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29.</w:t>
      </w:r>
      <w:r>
        <w:rPr>
          <w:rFonts w:ascii="Arial" w:hAnsi="Arial" w:cs="Arial"/>
          <w:sz w:val="24"/>
          <w:szCs w:val="24"/>
        </w:rPr>
        <w:tab/>
        <w:t>Gasoline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30.</w:t>
      </w:r>
      <w:r>
        <w:rPr>
          <w:rFonts w:ascii="Arial" w:hAnsi="Arial" w:cs="Arial"/>
          <w:sz w:val="24"/>
          <w:szCs w:val="24"/>
        </w:rPr>
        <w:tab/>
        <w:t>Dichlor Acetic Acid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Excellent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31.</w:t>
      </w:r>
      <w:r>
        <w:rPr>
          <w:rFonts w:ascii="Arial" w:hAnsi="Arial" w:cs="Arial"/>
          <w:sz w:val="24"/>
          <w:szCs w:val="24"/>
        </w:rPr>
        <w:tab/>
        <w:t>Di Methyl Formamide</w:t>
      </w:r>
      <w:r>
        <w:rPr>
          <w:rFonts w:ascii="Arial" w:hAnsi="Arial" w:cs="Arial"/>
          <w:sz w:val="24"/>
          <w:szCs w:val="24"/>
        </w:rPr>
        <w:tab/>
      </w:r>
      <w:r>
        <w:rPr>
          <w:rFonts w:ascii="Arial" w:hAnsi="Arial" w:cs="Arial"/>
          <w:sz w:val="24"/>
          <w:szCs w:val="24"/>
        </w:rPr>
        <w:tab/>
      </w:r>
      <w:r>
        <w:rPr>
          <w:rFonts w:ascii="Arial" w:hAnsi="Arial" w:cs="Arial"/>
          <w:sz w:val="24"/>
          <w:szCs w:val="24"/>
        </w:rPr>
        <w:tab/>
        <w:t>Excellent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32.</w:t>
      </w:r>
      <w:r>
        <w:rPr>
          <w:rFonts w:ascii="Arial" w:hAnsi="Arial" w:cs="Arial"/>
          <w:sz w:val="24"/>
          <w:szCs w:val="24"/>
        </w:rPr>
        <w:tab/>
        <w:t>Ethyl Acetate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33.</w:t>
      </w:r>
      <w:r>
        <w:rPr>
          <w:rFonts w:ascii="Arial" w:hAnsi="Arial" w:cs="Arial"/>
          <w:sz w:val="24"/>
          <w:szCs w:val="24"/>
        </w:rPr>
        <w:tab/>
        <w:t>Amyl Acetate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34.</w:t>
      </w:r>
      <w:r>
        <w:rPr>
          <w:rFonts w:ascii="Arial" w:hAnsi="Arial" w:cs="Arial"/>
          <w:sz w:val="24"/>
          <w:szCs w:val="24"/>
        </w:rPr>
        <w:tab/>
        <w:t>Acetone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35.</w:t>
      </w:r>
      <w:r>
        <w:rPr>
          <w:rFonts w:ascii="Arial" w:hAnsi="Arial" w:cs="Arial"/>
          <w:sz w:val="24"/>
          <w:szCs w:val="24"/>
        </w:rPr>
        <w:tab/>
        <w:t>Chloroform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36.</w:t>
      </w:r>
      <w:r>
        <w:rPr>
          <w:rFonts w:ascii="Arial" w:hAnsi="Arial" w:cs="Arial"/>
          <w:sz w:val="24"/>
          <w:szCs w:val="24"/>
        </w:rPr>
        <w:tab/>
        <w:t>Carbon Tetrachloride</w:t>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37.</w:t>
      </w:r>
      <w:r>
        <w:rPr>
          <w:rFonts w:ascii="Arial" w:hAnsi="Arial" w:cs="Arial"/>
          <w:sz w:val="24"/>
          <w:szCs w:val="24"/>
        </w:rPr>
        <w:tab/>
        <w:t>Phenol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38.</w:t>
      </w:r>
      <w:r>
        <w:rPr>
          <w:rFonts w:ascii="Arial" w:hAnsi="Arial" w:cs="Arial"/>
          <w:sz w:val="24"/>
          <w:szCs w:val="24"/>
        </w:rPr>
        <w:tab/>
        <w:t>Cresol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39.</w:t>
      </w:r>
      <w:r>
        <w:rPr>
          <w:rFonts w:ascii="Arial" w:hAnsi="Arial" w:cs="Arial"/>
          <w:sz w:val="24"/>
          <w:szCs w:val="24"/>
        </w:rPr>
        <w:tab/>
        <w:t>Formaldehyde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40.</w:t>
      </w:r>
      <w:r>
        <w:rPr>
          <w:rFonts w:ascii="Arial" w:hAnsi="Arial" w:cs="Arial"/>
          <w:sz w:val="24"/>
          <w:szCs w:val="24"/>
        </w:rPr>
        <w:tab/>
        <w:t>Trichlorethylene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41.</w:t>
      </w:r>
      <w:r>
        <w:rPr>
          <w:rFonts w:ascii="Arial" w:hAnsi="Arial" w:cs="Arial"/>
          <w:sz w:val="24"/>
          <w:szCs w:val="24"/>
        </w:rPr>
        <w:tab/>
        <w:t>Ethyl Ether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42.</w:t>
      </w:r>
      <w:r>
        <w:rPr>
          <w:rFonts w:ascii="Arial" w:hAnsi="Arial" w:cs="Arial"/>
          <w:sz w:val="24"/>
          <w:szCs w:val="24"/>
        </w:rPr>
        <w:tab/>
        <w:t>Furfura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Fair</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43.</w:t>
      </w:r>
      <w:r>
        <w:rPr>
          <w:rFonts w:ascii="Arial" w:hAnsi="Arial" w:cs="Arial"/>
          <w:sz w:val="24"/>
          <w:szCs w:val="24"/>
        </w:rPr>
        <w:tab/>
        <w:t>Methylene Chloride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44.</w:t>
      </w:r>
      <w:r>
        <w:rPr>
          <w:rFonts w:ascii="Arial" w:hAnsi="Arial" w:cs="Arial"/>
          <w:sz w:val="24"/>
          <w:szCs w:val="24"/>
        </w:rPr>
        <w:tab/>
        <w:t>Mono Chlor Benzene</w:t>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45.</w:t>
      </w:r>
      <w:r>
        <w:rPr>
          <w:rFonts w:ascii="Arial" w:hAnsi="Arial" w:cs="Arial"/>
          <w:sz w:val="24"/>
          <w:szCs w:val="24"/>
        </w:rPr>
        <w:tab/>
        <w:t>Dioxane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46.</w:t>
      </w:r>
      <w:r>
        <w:rPr>
          <w:rFonts w:ascii="Arial" w:hAnsi="Arial" w:cs="Arial"/>
          <w:sz w:val="24"/>
          <w:szCs w:val="24"/>
        </w:rPr>
        <w:tab/>
        <w:t>Methyl Ethyl Ketone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47.</w:t>
      </w:r>
      <w:r>
        <w:rPr>
          <w:rFonts w:ascii="Arial" w:hAnsi="Arial" w:cs="Arial"/>
          <w:sz w:val="24"/>
          <w:szCs w:val="24"/>
        </w:rPr>
        <w:tab/>
        <w:t>Acid Dichromate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48.</w:t>
      </w:r>
      <w:r>
        <w:rPr>
          <w:rFonts w:ascii="Arial" w:hAnsi="Arial" w:cs="Arial"/>
          <w:sz w:val="24"/>
          <w:szCs w:val="24"/>
        </w:rPr>
        <w:tab/>
        <w:t>Hydrogen Peroxide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49.</w:t>
      </w:r>
      <w:r>
        <w:rPr>
          <w:rFonts w:ascii="Arial" w:hAnsi="Arial" w:cs="Arial"/>
          <w:sz w:val="24"/>
          <w:szCs w:val="24"/>
        </w:rPr>
        <w:tab/>
        <w:t>Naphthalene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50.</w:t>
      </w:r>
      <w:r>
        <w:rPr>
          <w:rFonts w:ascii="Arial" w:hAnsi="Arial" w:cs="Arial"/>
          <w:sz w:val="24"/>
          <w:szCs w:val="24"/>
        </w:rPr>
        <w:tab/>
        <w:t>Perchloric Acid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Effect</w:t>
      </w:r>
    </w:p>
    <w:p w:rsidR="00214732" w:rsidRDefault="00214732">
      <w:pPr>
        <w:tabs>
          <w:tab w:val="left" w:pos="-720"/>
        </w:tabs>
        <w:suppressAutoHyphens/>
        <w:rPr>
          <w:rFonts w:ascii="Arial" w:hAnsi="Arial" w:cs="Arial"/>
          <w:sz w:val="24"/>
          <w:szCs w:val="24"/>
        </w:rPr>
      </w:pPr>
    </w:p>
    <w:p w:rsidR="00214732" w:rsidRDefault="003C6A1A">
      <w:pPr>
        <w:tabs>
          <w:tab w:val="left" w:pos="-720"/>
        </w:tabs>
        <w:suppressAutoHyphens/>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66675</wp:posOffset>
                </wp:positionV>
                <wp:extent cx="4953000" cy="457200"/>
                <wp:effectExtent l="13335" t="9525" r="571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solidFill>
                            <a:srgbClr val="000000"/>
                          </a:solidFill>
                          <a:miter lim="800000"/>
                          <a:headEnd/>
                          <a:tailEnd/>
                        </a:ln>
                      </wps:spPr>
                      <wps:txbx>
                        <w:txbxContent>
                          <w:p w:rsidR="00214732" w:rsidRDefault="00214732">
                            <w:pPr>
                              <w:pStyle w:val="BodyText"/>
                            </w:pPr>
                            <w:r>
                              <w:t>Insert the following provisions in the designated location in Part 2 of the casework specification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3.05pt;margin-top:5.25pt;width:39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">
                <v:textbox>
                  <w:txbxContent>
                    <w:p w:rsidR="00214732" w:rsidRDefault="00214732">
                      <w:pPr>
                        <w:pStyle w:val="BodyText"/>
                      </w:pPr>
                      <w:r>
                        <w:t>Insert the following provisions in the designated location in Part 2 of the casework specification section.</w:t>
                      </w:r>
                    </w:p>
                  </w:txbxContent>
                </v:textbox>
              </v:shape>
            </w:pict>
          </mc:Fallback>
        </mc:AlternateContent>
      </w:r>
      <w:r w:rsidR="00214732">
        <w:rPr>
          <w:rFonts w:ascii="Arial" w:hAnsi="Arial" w:cs="Arial"/>
          <w:sz w:val="24"/>
          <w:szCs w:val="24"/>
        </w:rPr>
        <w:tab/>
      </w: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4"/>
          <w:szCs w:val="24"/>
        </w:rPr>
      </w:pPr>
      <w:r>
        <w:rPr>
          <w:rFonts w:ascii="Arial" w:hAnsi="Arial" w:cs="Arial"/>
          <w:b/>
          <w:bCs/>
          <w:sz w:val="29"/>
          <w:szCs w:val="29"/>
        </w:rPr>
        <w:t xml:space="preserve"> 2.</w:t>
      </w:r>
      <w:r>
        <w:rPr>
          <w:rFonts w:ascii="Arial" w:hAnsi="Arial" w:cs="Arial"/>
          <w:b/>
          <w:bCs/>
          <w:sz w:val="29"/>
          <w:szCs w:val="29"/>
        </w:rPr>
        <w:tab/>
        <w:t>CHEMSURF WORK SURFACE</w:t>
      </w:r>
    </w:p>
    <w:p w:rsidR="00214732" w:rsidRDefault="00214732">
      <w:pPr>
        <w:tabs>
          <w:tab w:val="left" w:pos="-720"/>
        </w:tabs>
        <w:suppressAutoHyphens/>
        <w:rPr>
          <w:rFonts w:ascii="Arial" w:hAnsi="Arial" w:cs="Arial"/>
          <w:sz w:val="24"/>
          <w:szCs w:val="24"/>
        </w:rPr>
      </w:pPr>
    </w:p>
    <w:p w:rsidR="00214732" w:rsidRDefault="00214732">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A.</w:t>
      </w:r>
      <w:r>
        <w:rPr>
          <w:rFonts w:ascii="Arial" w:hAnsi="Arial" w:cs="Arial"/>
          <w:sz w:val="24"/>
          <w:szCs w:val="24"/>
        </w:rPr>
        <w:tab/>
        <w:t xml:space="preserve">Material:  Plastic sheet material, 0.036" thick, formed of papers treated and coated with thermosetting resins, pressure bonded to one inch thick 45 lb. density particle board core and backed with 0.030" thick backer </w:t>
      </w:r>
      <w:r>
        <w:rPr>
          <w:rFonts w:ascii="Arial" w:hAnsi="Arial" w:cs="Arial"/>
          <w:sz w:val="24"/>
          <w:szCs w:val="24"/>
        </w:rPr>
        <w:lastRenderedPageBreak/>
        <w:t>sheet.  Band exposed edges with 0.036" thick Chemsurf material.  Provide material in color selected by [Architect] [Owner] from manufacturer's full range of standard colors.</w:t>
      </w:r>
    </w:p>
    <w:p w:rsidR="00214732" w:rsidRDefault="00214732">
      <w:pPr>
        <w:tabs>
          <w:tab w:val="left" w:pos="-720"/>
        </w:tabs>
        <w:suppressAutoHyphens/>
        <w:rPr>
          <w:rFonts w:ascii="Arial" w:hAnsi="Arial" w:cs="Arial"/>
          <w:sz w:val="24"/>
          <w:szCs w:val="24"/>
        </w:rPr>
      </w:pPr>
    </w:p>
    <w:p w:rsidR="00214732" w:rsidRDefault="00214732">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B.</w:t>
      </w:r>
      <w:r>
        <w:rPr>
          <w:rFonts w:ascii="Arial" w:hAnsi="Arial" w:cs="Arial"/>
          <w:sz w:val="24"/>
          <w:szCs w:val="24"/>
        </w:rPr>
        <w:tab/>
        <w:t>Backsplash curb:  Same material as top [and integral with top] [and butted to top and attached to work surface with screws].  Provide [where indicated on drawings] [where tops abut wall surfaces] [and at reagent ledges].  Include end curb where top abuts end wall.</w:t>
      </w:r>
    </w:p>
    <w:p w:rsidR="00214732" w:rsidRDefault="00214732">
      <w:pPr>
        <w:tabs>
          <w:tab w:val="left" w:pos="-720"/>
        </w:tabs>
        <w:suppressAutoHyphens/>
        <w:rPr>
          <w:rFonts w:ascii="Arial" w:hAnsi="Arial" w:cs="Arial"/>
          <w:sz w:val="24"/>
          <w:szCs w:val="24"/>
        </w:rPr>
      </w:pPr>
    </w:p>
    <w:p w:rsidR="00214732" w:rsidRDefault="003C6A1A">
      <w:pPr>
        <w:tabs>
          <w:tab w:val="left" w:pos="-720"/>
        </w:tabs>
        <w:suppressAutoHyphens/>
        <w:rPr>
          <w:rFonts w:ascii="Arial" w:hAnsi="Arial" w:cs="Arial"/>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927735</wp:posOffset>
                </wp:positionH>
                <wp:positionV relativeFrom="paragraph">
                  <wp:posOffset>39370</wp:posOffset>
                </wp:positionV>
                <wp:extent cx="4876800" cy="685800"/>
                <wp:effectExtent l="13335" t="10795" r="571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85800"/>
                        </a:xfrm>
                        <a:prstGeom prst="rect">
                          <a:avLst/>
                        </a:prstGeom>
                        <a:solidFill>
                          <a:srgbClr val="FFFFFF"/>
                        </a:solidFill>
                        <a:ln w="9525">
                          <a:solidFill>
                            <a:srgbClr val="000000"/>
                          </a:solidFill>
                          <a:miter lim="800000"/>
                          <a:headEnd/>
                          <a:tailEnd/>
                        </a:ln>
                      </wps:spPr>
                      <wps:txbx>
                        <w:txbxContent>
                          <w:p w:rsidR="00214732" w:rsidRDefault="00214732">
                            <w:pPr>
                              <w:pStyle w:val="BodyText"/>
                            </w:pPr>
                            <w:r>
                              <w:t>Width of reagent ledges will vary depending upon design requirements.  Indicate widths below if not dimensioned on the drawings.</w:t>
                            </w:r>
                          </w:p>
                          <w:p w:rsidR="00214732" w:rsidRDefault="00214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3.05pt;margin-top:3.1pt;width:38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">
                <v:textbox>
                  <w:txbxContent>
                    <w:p w:rsidR="00214732" w:rsidRDefault="00214732">
                      <w:pPr>
                        <w:pStyle w:val="BodyText"/>
                      </w:pPr>
                      <w:r>
                        <w:t>Width of reagent ledges will vary depending upon design requirements.  Indicate widths below if not dimensioned on the drawings.</w:t>
                      </w:r>
                    </w:p>
                    <w:p w:rsidR="00214732" w:rsidRDefault="00214732"/>
                  </w:txbxContent>
                </v:textbox>
              </v:shape>
            </w:pict>
          </mc:Fallback>
        </mc:AlternateContent>
      </w: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4"/>
          <w:szCs w:val="24"/>
        </w:rPr>
      </w:pPr>
    </w:p>
    <w:p w:rsidR="00214732" w:rsidRDefault="00214732">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C.</w:t>
      </w:r>
      <w:r>
        <w:rPr>
          <w:rFonts w:ascii="Arial" w:hAnsi="Arial" w:cs="Arial"/>
          <w:sz w:val="24"/>
          <w:szCs w:val="24"/>
        </w:rPr>
        <w:tab/>
        <w:t>Reagent ledges:  Same material as top.  Provide 6" high x [ ]" wide single faced units and 6" high x [ ]" wide double faced units [as shown on drawings] [as required].  Ledge face shall permit installation of service fixtures and top shall be removable for access to service utilities.</w:t>
      </w:r>
    </w:p>
    <w:p w:rsidR="00214732" w:rsidRDefault="00214732">
      <w:pPr>
        <w:tabs>
          <w:tab w:val="left" w:pos="-720"/>
        </w:tabs>
        <w:suppressAutoHyphens/>
        <w:rPr>
          <w:rFonts w:ascii="Arial" w:hAnsi="Arial" w:cs="Arial"/>
          <w:sz w:val="24"/>
          <w:szCs w:val="24"/>
        </w:rPr>
      </w:pPr>
    </w:p>
    <w:p w:rsidR="00214732" w:rsidRDefault="00214732">
      <w:pPr>
        <w:tabs>
          <w:tab w:val="left" w:pos="-720"/>
        </w:tabs>
        <w:suppressAutoHyphens/>
        <w:rPr>
          <w:rFonts w:ascii="Arial" w:hAnsi="Arial" w:cs="Arial"/>
          <w:sz w:val="24"/>
          <w:szCs w:val="24"/>
        </w:rPr>
      </w:pPr>
    </w:p>
    <w:p w:rsidR="00214732" w:rsidRDefault="00214732">
      <w:pPr>
        <w:pStyle w:val="Heading2"/>
      </w:pPr>
      <w:r>
        <w:tab/>
        <w:t>END OF APPENDIX A.2</w:t>
      </w:r>
    </w:p>
    <w:sectPr w:rsidR="00214732" w:rsidSect="00523513">
      <w:headerReference w:type="default" r:id="rId7"/>
      <w:footerReference w:type="default" r:id="rId8"/>
      <w:pgSz w:w="12240" w:h="15840"/>
      <w:pgMar w:top="216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DC" w:rsidRDefault="00B50FDC">
      <w:pPr>
        <w:spacing w:line="20" w:lineRule="exact"/>
        <w:rPr>
          <w:sz w:val="24"/>
          <w:szCs w:val="24"/>
        </w:rPr>
      </w:pPr>
    </w:p>
  </w:endnote>
  <w:endnote w:type="continuationSeparator" w:id="0">
    <w:p w:rsidR="00B50FDC" w:rsidRDefault="00B50FDC">
      <w:r>
        <w:rPr>
          <w:sz w:val="24"/>
          <w:szCs w:val="24"/>
        </w:rPr>
        <w:t xml:space="preserve"> </w:t>
      </w:r>
    </w:p>
  </w:endnote>
  <w:endnote w:type="continuationNotice" w:id="1">
    <w:p w:rsidR="00B50FDC" w:rsidRDefault="00B50FD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13" w:rsidRPr="00523513" w:rsidRDefault="00014C9B">
    <w:pPr>
      <w:pStyle w:val="Footer"/>
      <w:jc w:val="right"/>
      <w:rPr>
        <w:rFonts w:ascii="Arial" w:hAnsi="Arial" w:cs="Arial"/>
        <w:sz w:val="18"/>
        <w:szCs w:val="18"/>
      </w:rPr>
    </w:pPr>
    <w:r w:rsidRPr="00523513">
      <w:rPr>
        <w:rFonts w:ascii="Arial" w:hAnsi="Arial" w:cs="Arial"/>
        <w:sz w:val="18"/>
        <w:szCs w:val="18"/>
      </w:rPr>
      <w:fldChar w:fldCharType="begin"/>
    </w:r>
    <w:r w:rsidR="00523513" w:rsidRPr="00523513">
      <w:rPr>
        <w:rFonts w:ascii="Arial" w:hAnsi="Arial" w:cs="Arial"/>
        <w:sz w:val="18"/>
        <w:szCs w:val="18"/>
      </w:rPr>
      <w:instrText xml:space="preserve"> PAGE   \* MERGEFORMAT </w:instrText>
    </w:r>
    <w:r w:rsidRPr="00523513">
      <w:rPr>
        <w:rFonts w:ascii="Arial" w:hAnsi="Arial" w:cs="Arial"/>
        <w:sz w:val="18"/>
        <w:szCs w:val="18"/>
      </w:rPr>
      <w:fldChar w:fldCharType="separate"/>
    </w:r>
    <w:r w:rsidR="003C6A1A">
      <w:rPr>
        <w:rFonts w:ascii="Arial" w:hAnsi="Arial" w:cs="Arial"/>
        <w:noProof/>
        <w:sz w:val="18"/>
        <w:szCs w:val="18"/>
      </w:rPr>
      <w:t>1</w:t>
    </w:r>
    <w:r w:rsidRPr="00523513">
      <w:rPr>
        <w:rFonts w:ascii="Arial" w:hAnsi="Arial" w:cs="Arial"/>
        <w:sz w:val="18"/>
        <w:szCs w:val="18"/>
      </w:rPr>
      <w:fldChar w:fldCharType="end"/>
    </w:r>
  </w:p>
  <w:p w:rsidR="00214732" w:rsidRDefault="00214732">
    <w:pPr>
      <w:tabs>
        <w:tab w:val="left" w:pos="-720"/>
      </w:tabs>
      <w:suppressAutoHyphens/>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DC" w:rsidRDefault="00B50FDC">
      <w:r>
        <w:rPr>
          <w:sz w:val="24"/>
          <w:szCs w:val="24"/>
        </w:rPr>
        <w:separator/>
      </w:r>
    </w:p>
  </w:footnote>
  <w:footnote w:type="continuationSeparator" w:id="0">
    <w:p w:rsidR="00B50FDC" w:rsidRDefault="00B5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13" w:rsidRPr="00D11C66" w:rsidRDefault="00AB32CF" w:rsidP="00523513">
    <w:pPr>
      <w:pStyle w:val="Header"/>
      <w:tabs>
        <w:tab w:val="clear" w:pos="4320"/>
        <w:tab w:val="clear" w:pos="8640"/>
        <w:tab w:val="center" w:pos="-990"/>
        <w:tab w:val="right" w:pos="9360"/>
      </w:tabs>
      <w:rPr>
        <w:rFonts w:ascii="Arial" w:hAnsi="Arial" w:cs="Arial"/>
        <w:sz w:val="24"/>
        <w:szCs w:val="24"/>
      </w:rPr>
    </w:pPr>
    <w:r>
      <w:rPr>
        <w:rFonts w:ascii="Arial" w:hAnsi="Arial" w:cs="Arial"/>
        <w:sz w:val="24"/>
        <w:szCs w:val="24"/>
      </w:rPr>
      <w:t>Hamilton</w:t>
    </w:r>
    <w:r w:rsidR="00523513" w:rsidRPr="00D11C66">
      <w:rPr>
        <w:rFonts w:ascii="Arial" w:hAnsi="Arial" w:cs="Arial"/>
        <w:sz w:val="24"/>
        <w:szCs w:val="24"/>
      </w:rPr>
      <w:t xml:space="preserve"> </w:t>
    </w:r>
    <w:r w:rsidR="003C6A1A">
      <w:rPr>
        <w:rFonts w:ascii="Arial" w:hAnsi="Arial" w:cs="Arial"/>
        <w:sz w:val="24"/>
        <w:szCs w:val="24"/>
      </w:rPr>
      <w:t>Laboratory Solutions</w:t>
    </w:r>
    <w:r w:rsidR="00523513" w:rsidRPr="00D11C66">
      <w:rPr>
        <w:rFonts w:ascii="Arial" w:hAnsi="Arial" w:cs="Arial"/>
        <w:sz w:val="24"/>
        <w:szCs w:val="24"/>
      </w:rPr>
      <w:tab/>
    </w:r>
    <w:r w:rsidR="00523513">
      <w:rPr>
        <w:rFonts w:ascii="Arial" w:hAnsi="Arial" w:cs="Arial"/>
        <w:sz w:val="24"/>
        <w:szCs w:val="24"/>
      </w:rPr>
      <w:t>Appendix A.2</w:t>
    </w:r>
  </w:p>
  <w:p w:rsidR="00523513" w:rsidRPr="00D11C66" w:rsidRDefault="00523513" w:rsidP="00523513">
    <w:pPr>
      <w:pStyle w:val="Header"/>
      <w:tabs>
        <w:tab w:val="clear" w:pos="4320"/>
        <w:tab w:val="clear" w:pos="8640"/>
        <w:tab w:val="right" w:pos="9360"/>
      </w:tabs>
      <w:rPr>
        <w:rFonts w:ascii="Arial" w:hAnsi="Arial" w:cs="Arial"/>
        <w:sz w:val="24"/>
        <w:szCs w:val="24"/>
      </w:rPr>
    </w:pPr>
    <w:r>
      <w:rPr>
        <w:rFonts w:ascii="Arial" w:hAnsi="Arial" w:cs="Arial"/>
        <w:sz w:val="24"/>
        <w:szCs w:val="24"/>
      </w:rPr>
      <w:t>Chemsurf Work Surface</w:t>
    </w:r>
    <w:r w:rsidRPr="00D11C66">
      <w:rPr>
        <w:rFonts w:ascii="Arial" w:hAnsi="Arial" w:cs="Arial"/>
        <w:sz w:val="24"/>
        <w:szCs w:val="24"/>
      </w:rPr>
      <w:tab/>
    </w:r>
    <w:r w:rsidR="003C6A1A">
      <w:rPr>
        <w:rFonts w:ascii="Arial" w:hAnsi="Arial" w:cs="Arial"/>
        <w:sz w:val="24"/>
        <w:szCs w:val="24"/>
      </w:rPr>
      <w:t>V. 2017 – 1109</w:t>
    </w:r>
  </w:p>
  <w:p w:rsidR="00214732" w:rsidRPr="00214732" w:rsidRDefault="00523513" w:rsidP="00523513">
    <w:pPr>
      <w:pStyle w:val="Header"/>
      <w:rPr>
        <w:rFonts w:ascii="Arial" w:hAnsi="Arial" w:cs="Arial"/>
        <w:sz w:val="24"/>
        <w:szCs w:val="24"/>
      </w:rPr>
    </w:pPr>
    <w:r w:rsidRPr="00D11C66">
      <w:rPr>
        <w:rFonts w:ascii="Arial" w:hAnsi="Arial" w:cs="Arial"/>
        <w:sz w:val="24"/>
        <w:szCs w:val="24"/>
      </w:rPr>
      <w:t>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3"/>
    <w:rsid w:val="00014C9B"/>
    <w:rsid w:val="00174E73"/>
    <w:rsid w:val="001C1DD7"/>
    <w:rsid w:val="00214732"/>
    <w:rsid w:val="002B6803"/>
    <w:rsid w:val="002E6A28"/>
    <w:rsid w:val="0038239E"/>
    <w:rsid w:val="003C6A1A"/>
    <w:rsid w:val="00523513"/>
    <w:rsid w:val="00546693"/>
    <w:rsid w:val="00AB32CF"/>
    <w:rsid w:val="00B50FDC"/>
    <w:rsid w:val="00EC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C9B"/>
    <w:pPr>
      <w:widowControl w:val="0"/>
      <w:autoSpaceDE w:val="0"/>
      <w:autoSpaceDN w:val="0"/>
    </w:pPr>
    <w:rPr>
      <w:rFonts w:ascii="Courier New" w:hAnsi="Courier New" w:cs="Courier New"/>
    </w:rPr>
  </w:style>
  <w:style w:type="paragraph" w:styleId="Heading1">
    <w:name w:val="heading 1"/>
    <w:basedOn w:val="Normal"/>
    <w:next w:val="Normal"/>
    <w:qFormat/>
    <w:rsid w:val="00014C9B"/>
    <w:pPr>
      <w:keepNext/>
      <w:tabs>
        <w:tab w:val="left" w:pos="-720"/>
      </w:tabs>
      <w:suppressAutoHyphens/>
      <w:jc w:val="right"/>
      <w:outlineLvl w:val="0"/>
    </w:pPr>
    <w:rPr>
      <w:sz w:val="24"/>
      <w:szCs w:val="24"/>
    </w:rPr>
  </w:style>
  <w:style w:type="paragraph" w:styleId="Heading2">
    <w:name w:val="heading 2"/>
    <w:basedOn w:val="Normal"/>
    <w:next w:val="Normal"/>
    <w:qFormat/>
    <w:rsid w:val="00014C9B"/>
    <w:pPr>
      <w:keepNext/>
      <w:tabs>
        <w:tab w:val="center" w:pos="4680"/>
      </w:tabs>
      <w:suppressAutoHyphens/>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14C9B"/>
    <w:rPr>
      <w:sz w:val="24"/>
      <w:szCs w:val="24"/>
    </w:rPr>
  </w:style>
  <w:style w:type="character" w:styleId="EndnoteReference">
    <w:name w:val="endnote reference"/>
    <w:basedOn w:val="DefaultParagraphFont"/>
    <w:semiHidden/>
    <w:rsid w:val="00014C9B"/>
    <w:rPr>
      <w:rFonts w:cs="Times New Roman"/>
      <w:vertAlign w:val="superscript"/>
    </w:rPr>
  </w:style>
  <w:style w:type="paragraph" w:styleId="FootnoteText">
    <w:name w:val="footnote text"/>
    <w:basedOn w:val="Normal"/>
    <w:semiHidden/>
    <w:rsid w:val="00014C9B"/>
    <w:rPr>
      <w:sz w:val="24"/>
      <w:szCs w:val="24"/>
    </w:rPr>
  </w:style>
  <w:style w:type="character" w:styleId="FootnoteReference">
    <w:name w:val="footnote reference"/>
    <w:basedOn w:val="DefaultParagraphFont"/>
    <w:semiHidden/>
    <w:rsid w:val="00014C9B"/>
    <w:rPr>
      <w:rFonts w:cs="Times New Roman"/>
      <w:vertAlign w:val="superscript"/>
    </w:rPr>
  </w:style>
  <w:style w:type="paragraph" w:styleId="TOC1">
    <w:name w:val="toc 1"/>
    <w:basedOn w:val="Normal"/>
    <w:next w:val="Normal"/>
    <w:autoRedefine/>
    <w:semiHidden/>
    <w:rsid w:val="00014C9B"/>
    <w:pPr>
      <w:tabs>
        <w:tab w:val="right" w:leader="dot" w:pos="9360"/>
      </w:tabs>
      <w:suppressAutoHyphens/>
      <w:spacing w:before="480"/>
      <w:ind w:left="720" w:right="720" w:hanging="720"/>
    </w:pPr>
  </w:style>
  <w:style w:type="paragraph" w:styleId="TOC2">
    <w:name w:val="toc 2"/>
    <w:basedOn w:val="Normal"/>
    <w:next w:val="Normal"/>
    <w:autoRedefine/>
    <w:semiHidden/>
    <w:rsid w:val="00014C9B"/>
    <w:pPr>
      <w:tabs>
        <w:tab w:val="right" w:leader="dot" w:pos="9360"/>
      </w:tabs>
      <w:suppressAutoHyphens/>
      <w:ind w:left="1440" w:right="720" w:hanging="720"/>
    </w:pPr>
  </w:style>
  <w:style w:type="paragraph" w:styleId="TOC3">
    <w:name w:val="toc 3"/>
    <w:basedOn w:val="Normal"/>
    <w:next w:val="Normal"/>
    <w:autoRedefine/>
    <w:semiHidden/>
    <w:rsid w:val="00014C9B"/>
    <w:pPr>
      <w:tabs>
        <w:tab w:val="right" w:leader="dot" w:pos="9360"/>
      </w:tabs>
      <w:suppressAutoHyphens/>
      <w:ind w:left="2160" w:right="720" w:hanging="720"/>
    </w:pPr>
  </w:style>
  <w:style w:type="paragraph" w:styleId="TOC4">
    <w:name w:val="toc 4"/>
    <w:basedOn w:val="Normal"/>
    <w:next w:val="Normal"/>
    <w:autoRedefine/>
    <w:semiHidden/>
    <w:rsid w:val="00014C9B"/>
    <w:pPr>
      <w:tabs>
        <w:tab w:val="right" w:leader="dot" w:pos="9360"/>
      </w:tabs>
      <w:suppressAutoHyphens/>
      <w:ind w:left="2880" w:right="720" w:hanging="720"/>
    </w:pPr>
  </w:style>
  <w:style w:type="paragraph" w:styleId="TOC5">
    <w:name w:val="toc 5"/>
    <w:basedOn w:val="Normal"/>
    <w:next w:val="Normal"/>
    <w:autoRedefine/>
    <w:semiHidden/>
    <w:rsid w:val="00014C9B"/>
    <w:pPr>
      <w:tabs>
        <w:tab w:val="right" w:leader="dot" w:pos="9360"/>
      </w:tabs>
      <w:suppressAutoHyphens/>
      <w:ind w:left="3600" w:right="720" w:hanging="720"/>
    </w:pPr>
  </w:style>
  <w:style w:type="paragraph" w:styleId="TOC6">
    <w:name w:val="toc 6"/>
    <w:basedOn w:val="Normal"/>
    <w:next w:val="Normal"/>
    <w:autoRedefine/>
    <w:semiHidden/>
    <w:rsid w:val="00014C9B"/>
    <w:pPr>
      <w:tabs>
        <w:tab w:val="right" w:pos="9360"/>
      </w:tabs>
      <w:suppressAutoHyphens/>
      <w:ind w:left="720" w:hanging="720"/>
    </w:pPr>
  </w:style>
  <w:style w:type="paragraph" w:styleId="TOC7">
    <w:name w:val="toc 7"/>
    <w:basedOn w:val="Normal"/>
    <w:next w:val="Normal"/>
    <w:autoRedefine/>
    <w:semiHidden/>
    <w:rsid w:val="00014C9B"/>
    <w:pPr>
      <w:suppressAutoHyphens/>
      <w:ind w:left="720" w:hanging="720"/>
    </w:pPr>
  </w:style>
  <w:style w:type="paragraph" w:styleId="TOC8">
    <w:name w:val="toc 8"/>
    <w:basedOn w:val="Normal"/>
    <w:next w:val="Normal"/>
    <w:autoRedefine/>
    <w:semiHidden/>
    <w:rsid w:val="00014C9B"/>
    <w:pPr>
      <w:tabs>
        <w:tab w:val="right" w:pos="9360"/>
      </w:tabs>
      <w:suppressAutoHyphens/>
      <w:ind w:left="720" w:hanging="720"/>
    </w:pPr>
  </w:style>
  <w:style w:type="paragraph" w:styleId="TOC9">
    <w:name w:val="toc 9"/>
    <w:basedOn w:val="Normal"/>
    <w:next w:val="Normal"/>
    <w:autoRedefine/>
    <w:semiHidden/>
    <w:rsid w:val="00014C9B"/>
    <w:pPr>
      <w:tabs>
        <w:tab w:val="right" w:leader="dot" w:pos="9360"/>
      </w:tabs>
      <w:suppressAutoHyphens/>
      <w:ind w:left="720" w:hanging="720"/>
    </w:pPr>
  </w:style>
  <w:style w:type="paragraph" w:styleId="Index1">
    <w:name w:val="index 1"/>
    <w:basedOn w:val="Normal"/>
    <w:next w:val="Normal"/>
    <w:autoRedefine/>
    <w:semiHidden/>
    <w:rsid w:val="00014C9B"/>
    <w:pPr>
      <w:tabs>
        <w:tab w:val="right" w:leader="dot" w:pos="9360"/>
      </w:tabs>
      <w:suppressAutoHyphens/>
      <w:ind w:left="1440" w:right="720" w:hanging="1440"/>
    </w:pPr>
  </w:style>
  <w:style w:type="paragraph" w:styleId="Index2">
    <w:name w:val="index 2"/>
    <w:basedOn w:val="Normal"/>
    <w:next w:val="Normal"/>
    <w:autoRedefine/>
    <w:semiHidden/>
    <w:rsid w:val="00014C9B"/>
    <w:pPr>
      <w:tabs>
        <w:tab w:val="right" w:leader="dot" w:pos="9360"/>
      </w:tabs>
      <w:suppressAutoHyphens/>
      <w:ind w:left="1440" w:right="720" w:hanging="720"/>
    </w:pPr>
  </w:style>
  <w:style w:type="paragraph" w:styleId="TOAHeading">
    <w:name w:val="toa heading"/>
    <w:basedOn w:val="Normal"/>
    <w:next w:val="Normal"/>
    <w:semiHidden/>
    <w:rsid w:val="00014C9B"/>
    <w:pPr>
      <w:tabs>
        <w:tab w:val="right" w:pos="9360"/>
      </w:tabs>
      <w:suppressAutoHyphens/>
    </w:pPr>
  </w:style>
  <w:style w:type="paragraph" w:styleId="Caption">
    <w:name w:val="caption"/>
    <w:basedOn w:val="Normal"/>
    <w:next w:val="Normal"/>
    <w:qFormat/>
    <w:rsid w:val="00014C9B"/>
    <w:rPr>
      <w:sz w:val="24"/>
      <w:szCs w:val="24"/>
    </w:rPr>
  </w:style>
  <w:style w:type="character" w:customStyle="1" w:styleId="EquationCaption">
    <w:name w:val="_Equation Caption"/>
    <w:rsid w:val="00014C9B"/>
  </w:style>
  <w:style w:type="paragraph" w:styleId="Header">
    <w:name w:val="header"/>
    <w:basedOn w:val="Normal"/>
    <w:rsid w:val="00014C9B"/>
    <w:pPr>
      <w:tabs>
        <w:tab w:val="center" w:pos="4320"/>
        <w:tab w:val="right" w:pos="8640"/>
      </w:tabs>
    </w:pPr>
  </w:style>
  <w:style w:type="paragraph" w:styleId="Footer">
    <w:name w:val="footer"/>
    <w:basedOn w:val="Normal"/>
    <w:link w:val="FooterChar"/>
    <w:uiPriority w:val="99"/>
    <w:rsid w:val="00014C9B"/>
    <w:pPr>
      <w:tabs>
        <w:tab w:val="center" w:pos="4320"/>
        <w:tab w:val="right" w:pos="8640"/>
      </w:tabs>
    </w:pPr>
  </w:style>
  <w:style w:type="paragraph" w:styleId="BodyText">
    <w:name w:val="Body Text"/>
    <w:basedOn w:val="Normal"/>
    <w:rsid w:val="00014C9B"/>
    <w:pPr>
      <w:tabs>
        <w:tab w:val="left" w:pos="-720"/>
      </w:tabs>
      <w:suppressAutoHyphens/>
    </w:pPr>
    <w:rPr>
      <w:rFonts w:ascii="Arial" w:hAnsi="Arial" w:cs="Arial"/>
      <w:i/>
      <w:iCs/>
      <w:sz w:val="24"/>
      <w:szCs w:val="24"/>
    </w:rPr>
  </w:style>
  <w:style w:type="character" w:customStyle="1" w:styleId="FooterChar">
    <w:name w:val="Footer Char"/>
    <w:basedOn w:val="DefaultParagraphFont"/>
    <w:link w:val="Footer"/>
    <w:uiPriority w:val="99"/>
    <w:rsid w:val="0052351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C9B"/>
    <w:pPr>
      <w:widowControl w:val="0"/>
      <w:autoSpaceDE w:val="0"/>
      <w:autoSpaceDN w:val="0"/>
    </w:pPr>
    <w:rPr>
      <w:rFonts w:ascii="Courier New" w:hAnsi="Courier New" w:cs="Courier New"/>
    </w:rPr>
  </w:style>
  <w:style w:type="paragraph" w:styleId="Heading1">
    <w:name w:val="heading 1"/>
    <w:basedOn w:val="Normal"/>
    <w:next w:val="Normal"/>
    <w:qFormat/>
    <w:rsid w:val="00014C9B"/>
    <w:pPr>
      <w:keepNext/>
      <w:tabs>
        <w:tab w:val="left" w:pos="-720"/>
      </w:tabs>
      <w:suppressAutoHyphens/>
      <w:jc w:val="right"/>
      <w:outlineLvl w:val="0"/>
    </w:pPr>
    <w:rPr>
      <w:sz w:val="24"/>
      <w:szCs w:val="24"/>
    </w:rPr>
  </w:style>
  <w:style w:type="paragraph" w:styleId="Heading2">
    <w:name w:val="heading 2"/>
    <w:basedOn w:val="Normal"/>
    <w:next w:val="Normal"/>
    <w:qFormat/>
    <w:rsid w:val="00014C9B"/>
    <w:pPr>
      <w:keepNext/>
      <w:tabs>
        <w:tab w:val="center" w:pos="4680"/>
      </w:tabs>
      <w:suppressAutoHyphens/>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14C9B"/>
    <w:rPr>
      <w:sz w:val="24"/>
      <w:szCs w:val="24"/>
    </w:rPr>
  </w:style>
  <w:style w:type="character" w:styleId="EndnoteReference">
    <w:name w:val="endnote reference"/>
    <w:basedOn w:val="DefaultParagraphFont"/>
    <w:semiHidden/>
    <w:rsid w:val="00014C9B"/>
    <w:rPr>
      <w:rFonts w:cs="Times New Roman"/>
      <w:vertAlign w:val="superscript"/>
    </w:rPr>
  </w:style>
  <w:style w:type="paragraph" w:styleId="FootnoteText">
    <w:name w:val="footnote text"/>
    <w:basedOn w:val="Normal"/>
    <w:semiHidden/>
    <w:rsid w:val="00014C9B"/>
    <w:rPr>
      <w:sz w:val="24"/>
      <w:szCs w:val="24"/>
    </w:rPr>
  </w:style>
  <w:style w:type="character" w:styleId="FootnoteReference">
    <w:name w:val="footnote reference"/>
    <w:basedOn w:val="DefaultParagraphFont"/>
    <w:semiHidden/>
    <w:rsid w:val="00014C9B"/>
    <w:rPr>
      <w:rFonts w:cs="Times New Roman"/>
      <w:vertAlign w:val="superscript"/>
    </w:rPr>
  </w:style>
  <w:style w:type="paragraph" w:styleId="TOC1">
    <w:name w:val="toc 1"/>
    <w:basedOn w:val="Normal"/>
    <w:next w:val="Normal"/>
    <w:autoRedefine/>
    <w:semiHidden/>
    <w:rsid w:val="00014C9B"/>
    <w:pPr>
      <w:tabs>
        <w:tab w:val="right" w:leader="dot" w:pos="9360"/>
      </w:tabs>
      <w:suppressAutoHyphens/>
      <w:spacing w:before="480"/>
      <w:ind w:left="720" w:right="720" w:hanging="720"/>
    </w:pPr>
  </w:style>
  <w:style w:type="paragraph" w:styleId="TOC2">
    <w:name w:val="toc 2"/>
    <w:basedOn w:val="Normal"/>
    <w:next w:val="Normal"/>
    <w:autoRedefine/>
    <w:semiHidden/>
    <w:rsid w:val="00014C9B"/>
    <w:pPr>
      <w:tabs>
        <w:tab w:val="right" w:leader="dot" w:pos="9360"/>
      </w:tabs>
      <w:suppressAutoHyphens/>
      <w:ind w:left="1440" w:right="720" w:hanging="720"/>
    </w:pPr>
  </w:style>
  <w:style w:type="paragraph" w:styleId="TOC3">
    <w:name w:val="toc 3"/>
    <w:basedOn w:val="Normal"/>
    <w:next w:val="Normal"/>
    <w:autoRedefine/>
    <w:semiHidden/>
    <w:rsid w:val="00014C9B"/>
    <w:pPr>
      <w:tabs>
        <w:tab w:val="right" w:leader="dot" w:pos="9360"/>
      </w:tabs>
      <w:suppressAutoHyphens/>
      <w:ind w:left="2160" w:right="720" w:hanging="720"/>
    </w:pPr>
  </w:style>
  <w:style w:type="paragraph" w:styleId="TOC4">
    <w:name w:val="toc 4"/>
    <w:basedOn w:val="Normal"/>
    <w:next w:val="Normal"/>
    <w:autoRedefine/>
    <w:semiHidden/>
    <w:rsid w:val="00014C9B"/>
    <w:pPr>
      <w:tabs>
        <w:tab w:val="right" w:leader="dot" w:pos="9360"/>
      </w:tabs>
      <w:suppressAutoHyphens/>
      <w:ind w:left="2880" w:right="720" w:hanging="720"/>
    </w:pPr>
  </w:style>
  <w:style w:type="paragraph" w:styleId="TOC5">
    <w:name w:val="toc 5"/>
    <w:basedOn w:val="Normal"/>
    <w:next w:val="Normal"/>
    <w:autoRedefine/>
    <w:semiHidden/>
    <w:rsid w:val="00014C9B"/>
    <w:pPr>
      <w:tabs>
        <w:tab w:val="right" w:leader="dot" w:pos="9360"/>
      </w:tabs>
      <w:suppressAutoHyphens/>
      <w:ind w:left="3600" w:right="720" w:hanging="720"/>
    </w:pPr>
  </w:style>
  <w:style w:type="paragraph" w:styleId="TOC6">
    <w:name w:val="toc 6"/>
    <w:basedOn w:val="Normal"/>
    <w:next w:val="Normal"/>
    <w:autoRedefine/>
    <w:semiHidden/>
    <w:rsid w:val="00014C9B"/>
    <w:pPr>
      <w:tabs>
        <w:tab w:val="right" w:pos="9360"/>
      </w:tabs>
      <w:suppressAutoHyphens/>
      <w:ind w:left="720" w:hanging="720"/>
    </w:pPr>
  </w:style>
  <w:style w:type="paragraph" w:styleId="TOC7">
    <w:name w:val="toc 7"/>
    <w:basedOn w:val="Normal"/>
    <w:next w:val="Normal"/>
    <w:autoRedefine/>
    <w:semiHidden/>
    <w:rsid w:val="00014C9B"/>
    <w:pPr>
      <w:suppressAutoHyphens/>
      <w:ind w:left="720" w:hanging="720"/>
    </w:pPr>
  </w:style>
  <w:style w:type="paragraph" w:styleId="TOC8">
    <w:name w:val="toc 8"/>
    <w:basedOn w:val="Normal"/>
    <w:next w:val="Normal"/>
    <w:autoRedefine/>
    <w:semiHidden/>
    <w:rsid w:val="00014C9B"/>
    <w:pPr>
      <w:tabs>
        <w:tab w:val="right" w:pos="9360"/>
      </w:tabs>
      <w:suppressAutoHyphens/>
      <w:ind w:left="720" w:hanging="720"/>
    </w:pPr>
  </w:style>
  <w:style w:type="paragraph" w:styleId="TOC9">
    <w:name w:val="toc 9"/>
    <w:basedOn w:val="Normal"/>
    <w:next w:val="Normal"/>
    <w:autoRedefine/>
    <w:semiHidden/>
    <w:rsid w:val="00014C9B"/>
    <w:pPr>
      <w:tabs>
        <w:tab w:val="right" w:leader="dot" w:pos="9360"/>
      </w:tabs>
      <w:suppressAutoHyphens/>
      <w:ind w:left="720" w:hanging="720"/>
    </w:pPr>
  </w:style>
  <w:style w:type="paragraph" w:styleId="Index1">
    <w:name w:val="index 1"/>
    <w:basedOn w:val="Normal"/>
    <w:next w:val="Normal"/>
    <w:autoRedefine/>
    <w:semiHidden/>
    <w:rsid w:val="00014C9B"/>
    <w:pPr>
      <w:tabs>
        <w:tab w:val="right" w:leader="dot" w:pos="9360"/>
      </w:tabs>
      <w:suppressAutoHyphens/>
      <w:ind w:left="1440" w:right="720" w:hanging="1440"/>
    </w:pPr>
  </w:style>
  <w:style w:type="paragraph" w:styleId="Index2">
    <w:name w:val="index 2"/>
    <w:basedOn w:val="Normal"/>
    <w:next w:val="Normal"/>
    <w:autoRedefine/>
    <w:semiHidden/>
    <w:rsid w:val="00014C9B"/>
    <w:pPr>
      <w:tabs>
        <w:tab w:val="right" w:leader="dot" w:pos="9360"/>
      </w:tabs>
      <w:suppressAutoHyphens/>
      <w:ind w:left="1440" w:right="720" w:hanging="720"/>
    </w:pPr>
  </w:style>
  <w:style w:type="paragraph" w:styleId="TOAHeading">
    <w:name w:val="toa heading"/>
    <w:basedOn w:val="Normal"/>
    <w:next w:val="Normal"/>
    <w:semiHidden/>
    <w:rsid w:val="00014C9B"/>
    <w:pPr>
      <w:tabs>
        <w:tab w:val="right" w:pos="9360"/>
      </w:tabs>
      <w:suppressAutoHyphens/>
    </w:pPr>
  </w:style>
  <w:style w:type="paragraph" w:styleId="Caption">
    <w:name w:val="caption"/>
    <w:basedOn w:val="Normal"/>
    <w:next w:val="Normal"/>
    <w:qFormat/>
    <w:rsid w:val="00014C9B"/>
    <w:rPr>
      <w:sz w:val="24"/>
      <w:szCs w:val="24"/>
    </w:rPr>
  </w:style>
  <w:style w:type="character" w:customStyle="1" w:styleId="EquationCaption">
    <w:name w:val="_Equation Caption"/>
    <w:rsid w:val="00014C9B"/>
  </w:style>
  <w:style w:type="paragraph" w:styleId="Header">
    <w:name w:val="header"/>
    <w:basedOn w:val="Normal"/>
    <w:rsid w:val="00014C9B"/>
    <w:pPr>
      <w:tabs>
        <w:tab w:val="center" w:pos="4320"/>
        <w:tab w:val="right" w:pos="8640"/>
      </w:tabs>
    </w:pPr>
  </w:style>
  <w:style w:type="paragraph" w:styleId="Footer">
    <w:name w:val="footer"/>
    <w:basedOn w:val="Normal"/>
    <w:link w:val="FooterChar"/>
    <w:uiPriority w:val="99"/>
    <w:rsid w:val="00014C9B"/>
    <w:pPr>
      <w:tabs>
        <w:tab w:val="center" w:pos="4320"/>
        <w:tab w:val="right" w:pos="8640"/>
      </w:tabs>
    </w:pPr>
  </w:style>
  <w:style w:type="paragraph" w:styleId="BodyText">
    <w:name w:val="Body Text"/>
    <w:basedOn w:val="Normal"/>
    <w:rsid w:val="00014C9B"/>
    <w:pPr>
      <w:tabs>
        <w:tab w:val="left" w:pos="-720"/>
      </w:tabs>
      <w:suppressAutoHyphens/>
    </w:pPr>
    <w:rPr>
      <w:rFonts w:ascii="Arial" w:hAnsi="Arial" w:cs="Arial"/>
      <w:i/>
      <w:iCs/>
      <w:sz w:val="24"/>
      <w:szCs w:val="24"/>
    </w:rPr>
  </w:style>
  <w:style w:type="character" w:customStyle="1" w:styleId="FooterChar">
    <w:name w:val="Footer Char"/>
    <w:basedOn w:val="DefaultParagraphFont"/>
    <w:link w:val="Footer"/>
    <w:uiPriority w:val="99"/>
    <w:rsid w:val="0052351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Tootsie Sommers</cp:lastModifiedBy>
  <cp:revision>2</cp:revision>
  <cp:lastPrinted>2006-10-07T13:53:00Z</cp:lastPrinted>
  <dcterms:created xsi:type="dcterms:W3CDTF">2017-11-09T14:17:00Z</dcterms:created>
  <dcterms:modified xsi:type="dcterms:W3CDTF">2017-11-09T14:17:00Z</dcterms:modified>
</cp:coreProperties>
</file>